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615</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E48C4" w:rsidRDefault="00FE48C4" w:rsidP="00FE48C4">
      <w:pPr>
        <w:spacing w:after="480" w:line="240" w:lineRule="exact"/>
        <w:ind w:right="4536"/>
        <w:rPr>
          <w:b/>
          <w:bCs/>
          <w:sz w:val="28"/>
          <w:szCs w:val="28"/>
        </w:rPr>
      </w:pPr>
      <w:r>
        <w:rPr>
          <w:b/>
          <w:bCs/>
          <w:sz w:val="28"/>
          <w:szCs w:val="28"/>
        </w:rPr>
        <w:t>Об отчете начальника Отдела МВД России</w:t>
      </w:r>
      <w:r>
        <w:rPr>
          <w:b/>
          <w:bCs/>
          <w:sz w:val="28"/>
          <w:szCs w:val="28"/>
        </w:rPr>
        <w:t xml:space="preserve"> </w:t>
      </w:r>
      <w:r>
        <w:rPr>
          <w:b/>
          <w:bCs/>
          <w:sz w:val="28"/>
          <w:szCs w:val="28"/>
        </w:rPr>
        <w:t>по Соликамскому городскому округу</w:t>
      </w:r>
      <w:r>
        <w:rPr>
          <w:b/>
          <w:bCs/>
          <w:sz w:val="28"/>
          <w:szCs w:val="28"/>
        </w:rPr>
        <w:t xml:space="preserve"> </w:t>
      </w:r>
      <w:r>
        <w:rPr>
          <w:b/>
          <w:bCs/>
          <w:sz w:val="28"/>
          <w:szCs w:val="28"/>
        </w:rPr>
        <w:t>за 2024 год</w:t>
      </w:r>
    </w:p>
    <w:p w:rsidR="00FE48C4" w:rsidRDefault="00FE48C4" w:rsidP="00FE48C4">
      <w:pPr>
        <w:spacing w:line="360" w:lineRule="exact"/>
        <w:ind w:firstLine="709"/>
        <w:jc w:val="both"/>
        <w:rPr>
          <w:sz w:val="28"/>
          <w:szCs w:val="28"/>
        </w:rPr>
      </w:pPr>
      <w:proofErr w:type="gramStart"/>
      <w:r>
        <w:rPr>
          <w:bCs/>
          <w:sz w:val="28"/>
          <w:szCs w:val="28"/>
        </w:rPr>
        <w:t>В</w:t>
      </w:r>
      <w:r>
        <w:rPr>
          <w:sz w:val="28"/>
          <w:szCs w:val="28"/>
          <w:lang w:eastAsia="en-US"/>
        </w:rPr>
        <w:t xml:space="preserve"> соответствии с Федеральным </w:t>
      </w:r>
      <w:hyperlink r:id="rId9" w:history="1">
        <w:r w:rsidRPr="00FE48C4">
          <w:rPr>
            <w:rStyle w:val="a3"/>
            <w:color w:val="auto"/>
            <w:sz w:val="28"/>
            <w:szCs w:val="28"/>
            <w:u w:val="none"/>
            <w:lang w:eastAsia="en-US"/>
          </w:rPr>
          <w:t>законом</w:t>
        </w:r>
      </w:hyperlink>
      <w:r w:rsidRPr="00FE48C4">
        <w:rPr>
          <w:sz w:val="28"/>
          <w:szCs w:val="28"/>
          <w:lang w:eastAsia="en-US"/>
        </w:rPr>
        <w:t xml:space="preserve"> </w:t>
      </w:r>
      <w:r>
        <w:rPr>
          <w:sz w:val="28"/>
          <w:szCs w:val="28"/>
          <w:lang w:eastAsia="en-US"/>
        </w:rPr>
        <w:t xml:space="preserve">от 7 февраля 2011 г.  № 3-ФЗ «О полиции», </w:t>
      </w:r>
      <w:r>
        <w:rPr>
          <w:sz w:val="28"/>
          <w:szCs w:val="28"/>
        </w:rPr>
        <w:t>Приказом Министерства внутренних дел Российской Федерации от 26 декабря 2023 г. № 1011 «Об утверждении Инструкции по организации и проведению отчетов должностных лиц территориальных органов МВД России</w:t>
      </w:r>
      <w:r>
        <w:rPr>
          <w:sz w:val="28"/>
          <w:szCs w:val="28"/>
          <w:lang w:eastAsia="en-US"/>
        </w:rPr>
        <w:t xml:space="preserve">, </w:t>
      </w:r>
      <w:r>
        <w:rPr>
          <w:sz w:val="28"/>
          <w:szCs w:val="28"/>
        </w:rPr>
        <w:t>статьей 26 Устава Соликамского муниципального округа Пермского края, статьей 41 Регламента Думы Соликамского муниципального округа, утвержденного решением Думы Соликамского городского округа</w:t>
      </w:r>
      <w:proofErr w:type="gramEnd"/>
      <w:r>
        <w:rPr>
          <w:sz w:val="28"/>
          <w:szCs w:val="28"/>
        </w:rPr>
        <w:t xml:space="preserve"> от 25 октября 2023 г. № 370,</w:t>
      </w:r>
    </w:p>
    <w:p w:rsidR="00FE48C4" w:rsidRDefault="00FE48C4" w:rsidP="00FE48C4">
      <w:pPr>
        <w:spacing w:line="360" w:lineRule="exact"/>
        <w:jc w:val="both"/>
        <w:rPr>
          <w:sz w:val="28"/>
          <w:szCs w:val="28"/>
        </w:rPr>
      </w:pPr>
      <w:r>
        <w:rPr>
          <w:sz w:val="28"/>
          <w:szCs w:val="28"/>
        </w:rPr>
        <w:tab/>
        <w:t>Дума Соликамского муниципального округа РЕШИЛА:</w:t>
      </w:r>
    </w:p>
    <w:p w:rsidR="00FE48C4" w:rsidRDefault="00FE48C4" w:rsidP="00FE48C4">
      <w:pPr>
        <w:spacing w:line="360" w:lineRule="exact"/>
        <w:jc w:val="both"/>
        <w:rPr>
          <w:sz w:val="28"/>
          <w:szCs w:val="28"/>
        </w:rPr>
      </w:pPr>
      <w:r>
        <w:rPr>
          <w:sz w:val="28"/>
          <w:szCs w:val="28"/>
        </w:rPr>
        <w:tab/>
        <w:t>1. Принять  информацию, содержащуюся в отчете начальника Отдела МВД России по Соликамскому городскому округу за 2024 год, к сведению.</w:t>
      </w:r>
    </w:p>
    <w:p w:rsidR="00FE48C4" w:rsidRDefault="00FE48C4" w:rsidP="00FE48C4">
      <w:pPr>
        <w:autoSpaceDE w:val="0"/>
        <w:autoSpaceDN w:val="0"/>
        <w:adjustRightInd w:val="0"/>
        <w:spacing w:after="480" w:line="360" w:lineRule="exact"/>
        <w:jc w:val="both"/>
        <w:rPr>
          <w:bCs/>
          <w:sz w:val="28"/>
          <w:szCs w:val="28"/>
          <w:lang w:eastAsia="en-US"/>
        </w:rPr>
      </w:pPr>
      <w:r>
        <w:rPr>
          <w:sz w:val="28"/>
          <w:szCs w:val="28"/>
        </w:rPr>
        <w:tab/>
        <w:t xml:space="preserve">2. Настоящее решение вступает в силу после его принятия, подлежит обнародованию в газете «Соликамский рабочий» и размещению на  официальных сайтах ГУ МВД России по Пермскому краю, Думы Соликамского муниципального округа и администрации Соликамского муниципального округа в </w:t>
      </w:r>
      <w:r>
        <w:rPr>
          <w:bCs/>
          <w:sz w:val="28"/>
          <w:szCs w:val="28"/>
          <w:lang w:eastAsia="en-US"/>
        </w:rPr>
        <w:t xml:space="preserve">информационно-телекоммуникационной </w:t>
      </w:r>
      <w:r>
        <w:rPr>
          <w:sz w:val="28"/>
          <w:szCs w:val="28"/>
        </w:rPr>
        <w:t>сети «Интернет</w:t>
      </w:r>
      <w:proofErr w:type="gramStart"/>
      <w:r>
        <w:rPr>
          <w:sz w:val="28"/>
          <w:szCs w:val="28"/>
        </w:rPr>
        <w:t>».</w:t>
      </w:r>
      <w:proofErr w:type="gramEnd"/>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2206FC">
      <w:pPr>
        <w:spacing w:line="240" w:lineRule="exact"/>
        <w:ind w:left="5103"/>
        <w:rPr>
          <w:bCs/>
          <w:sz w:val="28"/>
          <w:szCs w:val="28"/>
        </w:rPr>
      </w:pPr>
      <w:r>
        <w:rPr>
          <w:sz w:val="28"/>
          <w:szCs w:val="28"/>
        </w:rPr>
        <w:br w:type="page"/>
      </w:r>
      <w:r>
        <w:rPr>
          <w:bCs/>
          <w:sz w:val="28"/>
          <w:szCs w:val="28"/>
        </w:rPr>
        <w:lastRenderedPageBreak/>
        <w:t xml:space="preserve">Приложение </w:t>
      </w:r>
    </w:p>
    <w:p w:rsidR="002206FC" w:rsidRDefault="002206FC" w:rsidP="002206FC">
      <w:pPr>
        <w:spacing w:line="240" w:lineRule="exact"/>
        <w:ind w:left="5103"/>
        <w:rPr>
          <w:bCs/>
          <w:sz w:val="28"/>
          <w:szCs w:val="28"/>
        </w:rPr>
      </w:pPr>
      <w:r>
        <w:rPr>
          <w:bCs/>
          <w:sz w:val="28"/>
          <w:szCs w:val="28"/>
        </w:rPr>
        <w:t xml:space="preserve">к решению Думы Соликамского муниципального округа </w:t>
      </w:r>
    </w:p>
    <w:p w:rsidR="002206FC" w:rsidRDefault="002206FC" w:rsidP="002206FC">
      <w:pPr>
        <w:spacing w:after="480" w:line="240" w:lineRule="exact"/>
        <w:ind w:left="5103"/>
        <w:rPr>
          <w:bCs/>
          <w:sz w:val="28"/>
          <w:szCs w:val="28"/>
        </w:rPr>
      </w:pPr>
      <w:r>
        <w:rPr>
          <w:bCs/>
          <w:sz w:val="28"/>
          <w:szCs w:val="28"/>
        </w:rPr>
        <w:t xml:space="preserve">от </w:t>
      </w:r>
      <w:r>
        <w:rPr>
          <w:bCs/>
          <w:sz w:val="28"/>
          <w:szCs w:val="28"/>
        </w:rPr>
        <w:t xml:space="preserve">26.03.2025 </w:t>
      </w:r>
      <w:r>
        <w:rPr>
          <w:bCs/>
          <w:sz w:val="28"/>
          <w:szCs w:val="28"/>
        </w:rPr>
        <w:t>№</w:t>
      </w:r>
      <w:r>
        <w:rPr>
          <w:bCs/>
          <w:sz w:val="28"/>
          <w:szCs w:val="28"/>
        </w:rPr>
        <w:t xml:space="preserve"> 615</w:t>
      </w:r>
      <w:r>
        <w:rPr>
          <w:bCs/>
          <w:sz w:val="28"/>
          <w:szCs w:val="28"/>
        </w:rPr>
        <w:t xml:space="preserve"> </w:t>
      </w:r>
    </w:p>
    <w:p w:rsidR="002206FC" w:rsidRDefault="002206FC" w:rsidP="002206FC">
      <w:pPr>
        <w:spacing w:line="240" w:lineRule="exact"/>
        <w:jc w:val="center"/>
        <w:rPr>
          <w:b/>
          <w:sz w:val="28"/>
          <w:szCs w:val="28"/>
        </w:rPr>
      </w:pPr>
      <w:r w:rsidRPr="002206FC">
        <w:rPr>
          <w:b/>
          <w:sz w:val="28"/>
          <w:szCs w:val="28"/>
        </w:rPr>
        <w:t>Информационно – аналитическая справка</w:t>
      </w:r>
    </w:p>
    <w:p w:rsidR="002206FC" w:rsidRPr="002206FC" w:rsidRDefault="002206FC" w:rsidP="002206FC">
      <w:pPr>
        <w:spacing w:after="480" w:line="240" w:lineRule="exact"/>
        <w:jc w:val="center"/>
        <w:rPr>
          <w:rFonts w:eastAsia="Calibri"/>
          <w:b/>
          <w:sz w:val="28"/>
          <w:szCs w:val="28"/>
        </w:rPr>
      </w:pPr>
      <w:r w:rsidRPr="002206FC">
        <w:rPr>
          <w:rFonts w:eastAsia="Calibri"/>
          <w:b/>
          <w:szCs w:val="28"/>
        </w:rPr>
        <w:t>о результатах оперативно – служебной деятельности  Отдела МВД России по Соликамскому городскому округу за 2024 год</w:t>
      </w:r>
    </w:p>
    <w:p w:rsidR="002206FC" w:rsidRDefault="002206FC" w:rsidP="002206FC">
      <w:pPr>
        <w:ind w:firstLine="709"/>
        <w:jc w:val="both"/>
        <w:rPr>
          <w:sz w:val="28"/>
          <w:szCs w:val="28"/>
        </w:rPr>
      </w:pPr>
      <w:r>
        <w:rPr>
          <w:sz w:val="28"/>
          <w:szCs w:val="28"/>
        </w:rPr>
        <w:t>Деятельность Отдела МВД России по Соликамскому городскому округу</w:t>
      </w:r>
      <w:r>
        <w:rPr>
          <w:rStyle w:val="af7"/>
          <w:sz w:val="28"/>
          <w:szCs w:val="28"/>
        </w:rPr>
        <w:footnoteReference w:id="1"/>
      </w:r>
      <w:r>
        <w:rPr>
          <w:sz w:val="28"/>
          <w:szCs w:val="28"/>
        </w:rPr>
        <w:t xml:space="preserve"> в 2024 году осуществлялась в соответствии с приоритетными направлениями, определенными Директивой Министерства внутренних дел Российской Федерации, в соответствии со складывающейся оперативной обстановкой. </w:t>
      </w:r>
    </w:p>
    <w:p w:rsidR="002206FC" w:rsidRDefault="002206FC" w:rsidP="002206FC">
      <w:pPr>
        <w:ind w:firstLine="709"/>
        <w:jc w:val="both"/>
        <w:rPr>
          <w:sz w:val="28"/>
          <w:szCs w:val="28"/>
        </w:rPr>
      </w:pPr>
      <w:r>
        <w:rPr>
          <w:sz w:val="28"/>
          <w:szCs w:val="28"/>
        </w:rPr>
        <w:t>Во взаимодействии с другими правоохранительными органами, органами местного самоуправления и общественными организациями реализован комплекс профилактических и оперативных мер, направленных на  обеспечение общественной безопасности, защиту прав и законных интересов граждан, противодействие преступности, недопущение экстремистских и террористических проявлений, массовых беспорядков.</w:t>
      </w:r>
    </w:p>
    <w:p w:rsidR="002206FC" w:rsidRDefault="002206FC" w:rsidP="002206FC">
      <w:pPr>
        <w:ind w:firstLine="709"/>
        <w:jc w:val="both"/>
        <w:rPr>
          <w:sz w:val="28"/>
          <w:szCs w:val="28"/>
        </w:rPr>
      </w:pPr>
      <w:r>
        <w:rPr>
          <w:sz w:val="28"/>
          <w:szCs w:val="28"/>
        </w:rPr>
        <w:t xml:space="preserve">В целом, в отчетном периоде на территории Соликамского городского округа </w:t>
      </w:r>
      <w:proofErr w:type="gramStart"/>
      <w:r>
        <w:rPr>
          <w:sz w:val="28"/>
          <w:szCs w:val="28"/>
        </w:rPr>
        <w:t>криминогенная ситуация</w:t>
      </w:r>
      <w:proofErr w:type="gramEnd"/>
      <w:r>
        <w:rPr>
          <w:sz w:val="28"/>
          <w:szCs w:val="28"/>
        </w:rPr>
        <w:t xml:space="preserve"> сохраняла стабильность.</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t>Согласно показателям ведомственной статистической оценки, по итогам                 2024 года ОМВД занимает 2 место в рейтинге территориальных органов МВД России по Пермскому краю. Показатель эффективности составил 65,92 (среднее значение – 44,41).</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t>В 2024 году в ОМВД поступило 22727 заявлений (сообщений) граждан о противоправных деяниях (-6,2%). Всего в отчетном периоде зарегистрировано 1914 преступлений (+10%). Росту общего массива преступности послужило увеличение зарегистрированных преступлений по ст.272 УК РФ с 26 до 320, связанных с неправомерным доступом к личному кабинету Единого портала государственных и муниципальных услуг и функций; возросшее количество фактов умышленного причинения тяжкого вреда здоровью на 4,8%, в том числе со смертельным исходом на 300%; угонов на 28,6%, краж на 0,8%.</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t xml:space="preserve">Принимаемые профилактические меры послужили сокращению регистрации убийств на 14,3%, грабежей на 25%, мошенничеств на 19,2%, вымогательств на 33,3%, уличных преступлений на 15,2%.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t xml:space="preserve">Одним из основных показателей эффективности деятельности органов внутренних дел является раскрытие и расследование преступлений. Удельный вес оконченных расследованием преступлений по итогам 2024 года составил 47%, что выше </w:t>
      </w:r>
      <w:proofErr w:type="spellStart"/>
      <w:r>
        <w:rPr>
          <w:sz w:val="28"/>
          <w:szCs w:val="28"/>
        </w:rPr>
        <w:t>среднекраевого</w:t>
      </w:r>
      <w:proofErr w:type="spellEnd"/>
      <w:r>
        <w:rPr>
          <w:sz w:val="28"/>
          <w:szCs w:val="28"/>
        </w:rPr>
        <w:t xml:space="preserve"> показателя на 2,6%. Раскрываемость тяжких и особо тяжких преступлений составила 48,6%, превышает </w:t>
      </w:r>
      <w:proofErr w:type="spellStart"/>
      <w:r>
        <w:rPr>
          <w:sz w:val="28"/>
          <w:szCs w:val="28"/>
        </w:rPr>
        <w:t>среднекраевой</w:t>
      </w:r>
      <w:proofErr w:type="spellEnd"/>
      <w:r>
        <w:rPr>
          <w:sz w:val="28"/>
          <w:szCs w:val="28"/>
        </w:rPr>
        <w:t xml:space="preserve"> показатель на 4,9%.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lastRenderedPageBreak/>
        <w:t xml:space="preserve">С положительной стороны можно отметить 100% результаты раскрываемости убийств, умышленного причинения тяжкого вреда здоровью, в том числе со смертельным исходом, изнасилований, разбоев, преступлений с применением оружия, ДТП со смертельным исходом. Выше </w:t>
      </w:r>
      <w:proofErr w:type="spellStart"/>
      <w:r>
        <w:rPr>
          <w:sz w:val="28"/>
          <w:szCs w:val="28"/>
        </w:rPr>
        <w:t>среднекраевого</w:t>
      </w:r>
      <w:proofErr w:type="spellEnd"/>
      <w:r>
        <w:rPr>
          <w:sz w:val="28"/>
          <w:szCs w:val="28"/>
        </w:rPr>
        <w:t xml:space="preserve"> показателя раскрываемость имущественных преступлений, в том числе краж – 47,9%, грабежей – 93,6%, мошенничеств – 16,1%, кроме этого преступлений по линии НОН – 60,9%, преступлений экономической направленности – 85,7%.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567"/>
        <w:jc w:val="both"/>
        <w:rPr>
          <w:sz w:val="28"/>
          <w:szCs w:val="28"/>
        </w:rPr>
      </w:pPr>
      <w:r>
        <w:rPr>
          <w:sz w:val="28"/>
          <w:szCs w:val="28"/>
        </w:rPr>
        <w:t xml:space="preserve">По итогам отчетного периода зарегистрировано 306 преступлений против жизни и здоровья граждан, что соответствует уровню прошлого года, 67% в данном массиве занимают преступления превентивной направленности (угроза убийством, истязание, побои, вред здоровью легкой и средней тяжести), инициативно выявленные сотрудниками полиции в целях предупреждения более тяжких преступлений. Сократился удельный вес тяжких и особо тяжких преступлений, совершенных на почве </w:t>
      </w:r>
      <w:proofErr w:type="spellStart"/>
      <w:r>
        <w:rPr>
          <w:sz w:val="28"/>
          <w:szCs w:val="28"/>
        </w:rPr>
        <w:t>семейно</w:t>
      </w:r>
      <w:proofErr w:type="spellEnd"/>
      <w:r>
        <w:rPr>
          <w:sz w:val="28"/>
          <w:szCs w:val="28"/>
        </w:rPr>
        <w:t xml:space="preserve"> – бытовых конфликтов (2,6%).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567"/>
        <w:jc w:val="both"/>
        <w:rPr>
          <w:sz w:val="28"/>
          <w:szCs w:val="28"/>
        </w:rPr>
      </w:pPr>
      <w:r>
        <w:rPr>
          <w:sz w:val="28"/>
          <w:szCs w:val="28"/>
        </w:rPr>
        <w:t>К числу негативных тенденций стоит отнести рост в течение 2024 года регистрации преступлений, совершенных в сфере информационно – телекоммуникационных технологий,</w:t>
      </w:r>
      <w:r>
        <w:rPr>
          <w:b/>
          <w:sz w:val="28"/>
          <w:szCs w:val="28"/>
        </w:rPr>
        <w:t xml:space="preserve"> </w:t>
      </w:r>
      <w:r>
        <w:rPr>
          <w:sz w:val="28"/>
          <w:szCs w:val="28"/>
        </w:rPr>
        <w:t xml:space="preserve">к данной категории относилось каждое второе преступление. За отчетный период данный массив преступлений увеличился на 31,9% (885 фактов). </w:t>
      </w:r>
      <w:proofErr w:type="gramStart"/>
      <w:r>
        <w:rPr>
          <w:sz w:val="28"/>
          <w:szCs w:val="28"/>
        </w:rPr>
        <w:t xml:space="preserve">Рост обусловлен увеличением фактов неправомерного доступа к компьютерной информации – личному кабинету портала </w:t>
      </w:r>
      <w:proofErr w:type="spellStart"/>
      <w:r>
        <w:rPr>
          <w:sz w:val="28"/>
          <w:szCs w:val="28"/>
        </w:rPr>
        <w:t>Госуслуг</w:t>
      </w:r>
      <w:proofErr w:type="spellEnd"/>
      <w:r>
        <w:rPr>
          <w:sz w:val="28"/>
          <w:szCs w:val="28"/>
        </w:rPr>
        <w:t xml:space="preserve"> (ст.272 УК РФ) с 26 до 320 фактов, а также увеличением регистрации </w:t>
      </w:r>
      <w:proofErr w:type="spellStart"/>
      <w:r>
        <w:rPr>
          <w:sz w:val="28"/>
          <w:szCs w:val="28"/>
        </w:rPr>
        <w:t>наркопреступлений</w:t>
      </w:r>
      <w:proofErr w:type="spellEnd"/>
      <w:r>
        <w:rPr>
          <w:sz w:val="28"/>
          <w:szCs w:val="28"/>
        </w:rPr>
        <w:t xml:space="preserve"> на 17,9%. При этом сократилось количество совершенных дистанционно мошенничеств на 18,1% и краж на 15,8%. На постоянной основе организована профилактическая и разъяснительная работа с населением в целях противодействия данным преступлениям, формирования ответственного отношения</w:t>
      </w:r>
      <w:proofErr w:type="gramEnd"/>
      <w:r>
        <w:rPr>
          <w:sz w:val="28"/>
          <w:szCs w:val="28"/>
        </w:rPr>
        <w:t xml:space="preserve"> к распоряжению своими денежными средствами и </w:t>
      </w:r>
      <w:proofErr w:type="gramStart"/>
      <w:r>
        <w:rPr>
          <w:sz w:val="28"/>
          <w:szCs w:val="28"/>
        </w:rPr>
        <w:t>персональным</w:t>
      </w:r>
      <w:proofErr w:type="gramEnd"/>
      <w:r>
        <w:rPr>
          <w:sz w:val="28"/>
          <w:szCs w:val="28"/>
        </w:rPr>
        <w:t xml:space="preserve"> данными. Учитывая остроту данной проблемы, мы рассчитываем на помощь городской администрации в профилактике </w:t>
      </w:r>
      <w:proofErr w:type="spellStart"/>
      <w:r>
        <w:rPr>
          <w:sz w:val="28"/>
          <w:szCs w:val="28"/>
        </w:rPr>
        <w:t>виктимного</w:t>
      </w:r>
      <w:proofErr w:type="spellEnd"/>
      <w:r>
        <w:rPr>
          <w:sz w:val="28"/>
          <w:szCs w:val="28"/>
        </w:rPr>
        <w:t xml:space="preserve"> поведения граждан, широком освещении данной темы в средствах массовой информации.</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567"/>
        <w:jc w:val="both"/>
        <w:rPr>
          <w:sz w:val="28"/>
          <w:szCs w:val="28"/>
        </w:rPr>
      </w:pPr>
      <w:r>
        <w:rPr>
          <w:sz w:val="28"/>
          <w:szCs w:val="28"/>
        </w:rPr>
        <w:t xml:space="preserve">Борьба с незаконным оборотом наркотических средств, психотропных </w:t>
      </w:r>
      <w:r>
        <w:rPr>
          <w:sz w:val="28"/>
          <w:szCs w:val="28"/>
        </w:rPr>
        <w:br/>
        <w:t xml:space="preserve">и сильнодействующих веществ была и остается одним из приоритетных направлений деятельности полиции. </w:t>
      </w:r>
      <w:proofErr w:type="gramStart"/>
      <w:r>
        <w:rPr>
          <w:sz w:val="28"/>
          <w:szCs w:val="28"/>
        </w:rPr>
        <w:t xml:space="preserve">В январе – декабре 2024 года выявлено и пресечено 138 </w:t>
      </w:r>
      <w:proofErr w:type="spellStart"/>
      <w:r>
        <w:rPr>
          <w:sz w:val="28"/>
          <w:szCs w:val="28"/>
        </w:rPr>
        <w:t>наркопреступлений</w:t>
      </w:r>
      <w:proofErr w:type="spellEnd"/>
      <w:r>
        <w:rPr>
          <w:sz w:val="28"/>
          <w:szCs w:val="28"/>
        </w:rPr>
        <w:t xml:space="preserve"> (+20%), из них 120 связаны со сбытом (+30,4%). </w:t>
      </w:r>
      <w:proofErr w:type="gramEnd"/>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567"/>
        <w:jc w:val="both"/>
        <w:rPr>
          <w:sz w:val="28"/>
          <w:szCs w:val="28"/>
        </w:rPr>
      </w:pPr>
      <w:r>
        <w:rPr>
          <w:sz w:val="28"/>
          <w:szCs w:val="28"/>
        </w:rPr>
        <w:t xml:space="preserve">В отчетном периоде выявлено и документировано 58 преступлений экономической и коррупционной направленности (+38,1%), из них 7 в крупном и особо крупном размере (-30%), 17 коррупционной направленности (+112,5%), против государственной власти – 16 (+128,6%).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567"/>
        <w:jc w:val="both"/>
        <w:rPr>
          <w:sz w:val="28"/>
          <w:szCs w:val="28"/>
        </w:rPr>
      </w:pPr>
      <w:r>
        <w:rPr>
          <w:sz w:val="28"/>
          <w:szCs w:val="28"/>
        </w:rPr>
        <w:t xml:space="preserve">Принимаемые меры послужили сокращению в общем массиве преступности доли преступлений, совершенных в общественных местах и на улицах, с 27% до 25% (481). При снижении уличной преступности на 15,2% (206) возрос количественный состав преступлений, совершенных в </w:t>
      </w:r>
      <w:r>
        <w:rPr>
          <w:sz w:val="28"/>
          <w:szCs w:val="28"/>
        </w:rPr>
        <w:lastRenderedPageBreak/>
        <w:t xml:space="preserve">общественных местах, на 18% (275), в том числе краж на 21,6% (по-прежнему, преимущественно преступления совершались в сетевых магазинах).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567"/>
        <w:jc w:val="both"/>
        <w:rPr>
          <w:color w:val="000000"/>
          <w:sz w:val="28"/>
          <w:szCs w:val="28"/>
        </w:rPr>
      </w:pPr>
      <w:r>
        <w:rPr>
          <w:color w:val="000000"/>
          <w:sz w:val="28"/>
          <w:szCs w:val="28"/>
        </w:rPr>
        <w:t xml:space="preserve">В целях стабилизации </w:t>
      </w:r>
      <w:proofErr w:type="gramStart"/>
      <w:r>
        <w:rPr>
          <w:color w:val="000000"/>
          <w:sz w:val="28"/>
          <w:szCs w:val="28"/>
        </w:rPr>
        <w:t>криминогенной обстановки</w:t>
      </w:r>
      <w:proofErr w:type="gramEnd"/>
      <w:r>
        <w:rPr>
          <w:color w:val="000000"/>
          <w:sz w:val="28"/>
          <w:szCs w:val="28"/>
        </w:rPr>
        <w:t xml:space="preserve"> на улицах и в других общественных местах города в отчетном периоде проведено 18 рейдовых мероприятий. В ходе проведения рейдовых мероприятий проверено 1871 лицо, состоящее на профилактических учетах ОМВД, составлено 285 административных протоколов, выявлено 1 преступление.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rStyle w:val="14"/>
          <w:kern w:val="2"/>
          <w:lang w:eastAsia="ar-SA"/>
        </w:rPr>
      </w:pPr>
      <w:r>
        <w:rPr>
          <w:kern w:val="2"/>
          <w:sz w:val="28"/>
          <w:szCs w:val="28"/>
          <w:lang w:eastAsia="ar-SA"/>
        </w:rPr>
        <w:t>На территории Соликамского муниципального округа в рамках АПК «Безопасный город» расположено 83 камеры видеонаблюдения (управляемых — 5, стационарных — 77). Изображение с видеокамер выведено в ЕДДС Соликамского муниципального округа. На 01.01.2025 были неисправны 37 камер (находятся на балансе ГКУ «Центр безопасности дорожного движения Пермского края»</w:t>
      </w:r>
      <w:r>
        <w:rPr>
          <w:rStyle w:val="af7"/>
          <w:kern w:val="2"/>
          <w:sz w:val="28"/>
          <w:szCs w:val="28"/>
          <w:lang w:eastAsia="ar-SA"/>
        </w:rPr>
        <w:footnoteReference w:id="2"/>
      </w:r>
      <w:r>
        <w:rPr>
          <w:kern w:val="2"/>
          <w:sz w:val="28"/>
          <w:szCs w:val="28"/>
          <w:lang w:eastAsia="ar-SA"/>
        </w:rPr>
        <w:t xml:space="preserve">), </w:t>
      </w:r>
      <w:r>
        <w:rPr>
          <w:rStyle w:val="14"/>
          <w:color w:val="000000"/>
          <w:kern w:val="2"/>
          <w:sz w:val="28"/>
          <w:szCs w:val="28"/>
          <w:lang w:eastAsia="ar-SA"/>
        </w:rPr>
        <w:t>информационные письма по нерабочим камерам направлены сотрудниками ЕДДС в ЦБДД ПК, по состоянию на текущую дату остается в нерабочем состоянии 21 камера.</w:t>
      </w:r>
      <w:r>
        <w:rPr>
          <w:kern w:val="2"/>
          <w:sz w:val="28"/>
          <w:szCs w:val="28"/>
          <w:lang w:eastAsia="ar-SA"/>
        </w:rPr>
        <w:t xml:space="preserve"> На протяжении от полугода до года не работают камеры видеонаблюдения в местах массового пребывания людей (в районе </w:t>
      </w:r>
      <w:proofErr w:type="spellStart"/>
      <w:r>
        <w:rPr>
          <w:kern w:val="2"/>
          <w:sz w:val="28"/>
          <w:szCs w:val="28"/>
          <w:lang w:eastAsia="ar-SA"/>
        </w:rPr>
        <w:t>Калинникова</w:t>
      </w:r>
      <w:proofErr w:type="spellEnd"/>
      <w:r>
        <w:rPr>
          <w:kern w:val="2"/>
          <w:sz w:val="28"/>
          <w:szCs w:val="28"/>
          <w:lang w:eastAsia="ar-SA"/>
        </w:rPr>
        <w:t xml:space="preserve"> парка, Воскресенской площади, Центрального сквера, Автостанции, частично в районе Соляной версты). ОМВД направлено информационное письмо </w:t>
      </w:r>
      <w:r>
        <w:rPr>
          <w:rStyle w:val="14"/>
          <w:color w:val="000000"/>
          <w:kern w:val="2"/>
          <w:sz w:val="28"/>
          <w:szCs w:val="28"/>
          <w:lang w:eastAsia="ar-SA"/>
        </w:rPr>
        <w:t xml:space="preserve"> в ЦБДД ПК об устранении неисправной работы системы АПК «Безопасный город» (исх. № 65/18-2423 от 24.01.2025) — ответ не поступил.</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rStyle w:val="14"/>
          <w:color w:val="000000"/>
          <w:kern w:val="2"/>
          <w:sz w:val="28"/>
          <w:szCs w:val="28"/>
          <w:lang w:eastAsia="ar-SA"/>
        </w:rPr>
      </w:pPr>
      <w:r>
        <w:rPr>
          <w:kern w:val="2"/>
          <w:sz w:val="28"/>
          <w:szCs w:val="28"/>
          <w:lang w:eastAsia="ar-SA"/>
        </w:rPr>
        <w:t>За 2024 год сотрудники ОМВД обращались к видеоархиву АПК «Безопасный город» 22 раза (</w:t>
      </w:r>
      <w:r>
        <w:rPr>
          <w:rStyle w:val="14"/>
          <w:color w:val="000000"/>
          <w:kern w:val="2"/>
          <w:sz w:val="28"/>
          <w:szCs w:val="28"/>
          <w:lang w:eastAsia="ar-SA"/>
        </w:rPr>
        <w:t xml:space="preserve">по преступлениям - </w:t>
      </w:r>
      <w:r>
        <w:rPr>
          <w:kern w:val="2"/>
          <w:sz w:val="28"/>
          <w:szCs w:val="28"/>
          <w:lang w:eastAsia="ar-SA"/>
        </w:rPr>
        <w:t>8</w:t>
      </w:r>
      <w:r>
        <w:rPr>
          <w:rStyle w:val="14"/>
          <w:color w:val="000000"/>
          <w:kern w:val="2"/>
          <w:sz w:val="28"/>
          <w:szCs w:val="28"/>
          <w:lang w:eastAsia="ar-SA"/>
        </w:rPr>
        <w:t>, по административным правонарушениям - 14</w:t>
      </w:r>
      <w:r>
        <w:rPr>
          <w:kern w:val="2"/>
          <w:sz w:val="28"/>
          <w:szCs w:val="28"/>
          <w:lang w:eastAsia="ar-SA"/>
        </w:rPr>
        <w:t xml:space="preserve">). Выявлено с применением технических средств АПК «Безопасный город» 1 преступление, предусмотренное ч.3 ст.111 УК РФ. Низкая эффективность использования АПК «Безопасный город» связана с </w:t>
      </w:r>
      <w:r>
        <w:rPr>
          <w:rStyle w:val="14"/>
          <w:color w:val="000000"/>
          <w:kern w:val="2"/>
          <w:sz w:val="28"/>
          <w:szCs w:val="28"/>
          <w:lang w:eastAsia="ar-SA"/>
        </w:rPr>
        <w:t>проблемами технического обслуживания видеокамер, их неработоспособностью, низким качеством изображения (камеры расположены на стационарных столбах ЛЭП на большом расстоянии от пешеходных зон, что не позволяет идентифицировать лица).</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rStyle w:val="14"/>
          <w:color w:val="000000"/>
          <w:kern w:val="2"/>
          <w:sz w:val="28"/>
          <w:szCs w:val="28"/>
          <w:lang w:eastAsia="ar-SA"/>
        </w:rPr>
      </w:pPr>
      <w:proofErr w:type="gramStart"/>
      <w:r>
        <w:rPr>
          <w:rStyle w:val="14"/>
          <w:color w:val="000000"/>
          <w:kern w:val="2"/>
          <w:sz w:val="28"/>
          <w:szCs w:val="28"/>
          <w:lang w:eastAsia="ar-SA"/>
        </w:rPr>
        <w:t xml:space="preserve">На основании анализа уличной преступности в адрес администрации Соликамского городского округа направлено информационное письмо                       (исх. № 18/29517 от 16.08.2024) с предложением о включении в муниципальную программу «Развитие АПК «Безопасный город»» на 2025 год дополнительного финансирования мероприятий по установке видеокамер наружного наблюдения в наиболее криминогенных районах на перекрестках ул. Водников — ул. Фрунзе,                   ул. </w:t>
      </w:r>
      <w:proofErr w:type="spellStart"/>
      <w:r>
        <w:rPr>
          <w:rStyle w:val="14"/>
          <w:color w:val="000000"/>
          <w:kern w:val="2"/>
          <w:sz w:val="28"/>
          <w:szCs w:val="28"/>
          <w:lang w:eastAsia="ar-SA"/>
        </w:rPr>
        <w:t>Перекопская</w:t>
      </w:r>
      <w:proofErr w:type="spellEnd"/>
      <w:r>
        <w:rPr>
          <w:rStyle w:val="14"/>
          <w:color w:val="000000"/>
          <w:kern w:val="2"/>
          <w:sz w:val="28"/>
          <w:szCs w:val="28"/>
          <w:lang w:eastAsia="ar-SA"/>
        </w:rPr>
        <w:t xml:space="preserve"> — ул. Ульянова, на территории пляжа по ул</w:t>
      </w:r>
      <w:proofErr w:type="gramEnd"/>
      <w:r>
        <w:rPr>
          <w:rStyle w:val="14"/>
          <w:color w:val="000000"/>
          <w:kern w:val="2"/>
          <w:sz w:val="28"/>
          <w:szCs w:val="28"/>
          <w:lang w:eastAsia="ar-SA"/>
        </w:rPr>
        <w:t xml:space="preserve">. Ульянова. Предложение рассмотрено, но в 2025 году установка камер в указанных районах не запланирована, в связи с установкой новых камер наблюдения в районе моста «Влюбленных» по инициативе администрации Соликамского муниципального округа.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pPr>
      <w:r>
        <w:rPr>
          <w:rStyle w:val="14"/>
          <w:color w:val="000000"/>
          <w:kern w:val="2"/>
          <w:sz w:val="28"/>
          <w:szCs w:val="28"/>
          <w:lang w:eastAsia="ar-SA"/>
        </w:rPr>
        <w:t xml:space="preserve">По информации администрации Соликамского муниципального округа на 2024 год денежных средств на обслуживание подсистем видеонаблюдения г. </w:t>
      </w:r>
      <w:r>
        <w:rPr>
          <w:rStyle w:val="14"/>
          <w:color w:val="000000"/>
          <w:kern w:val="2"/>
          <w:sz w:val="28"/>
          <w:szCs w:val="28"/>
          <w:lang w:eastAsia="ar-SA"/>
        </w:rPr>
        <w:lastRenderedPageBreak/>
        <w:t>Соликамска выделено не было, на 2025 год финансирование данного направления так же не предусмотрено. На реализацию мероприятий п</w:t>
      </w:r>
      <w:r>
        <w:rPr>
          <w:color w:val="000000"/>
          <w:sz w:val="28"/>
          <w:szCs w:val="28"/>
        </w:rPr>
        <w:t>равоохранительной направленности, связанных с внедрением, развитием и эксплуатацией правоохранительного сегмента АПК «Безопасный город», а именно создание и развитие системы обеспечения вызова экстренных оперативных служб по единому номеру «112», на 2025 год предусмотрено 302,08 тыс. руб. (на 2024 — 1187,60 тыс. руб., освоено — 1171,35 тыс. руб.).</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color w:val="000000"/>
          <w:sz w:val="28"/>
          <w:szCs w:val="28"/>
        </w:rPr>
      </w:pPr>
      <w:r>
        <w:rPr>
          <w:color w:val="000000"/>
          <w:sz w:val="28"/>
          <w:szCs w:val="28"/>
        </w:rPr>
        <w:t xml:space="preserve">Ежедневно в соответствии с муниципальным контрактом «На оказание услуг по выставлению и обеспечению содержания  </w:t>
      </w:r>
      <w:proofErr w:type="spellStart"/>
      <w:r>
        <w:rPr>
          <w:color w:val="000000"/>
          <w:sz w:val="28"/>
          <w:szCs w:val="28"/>
        </w:rPr>
        <w:t>автопатрулей</w:t>
      </w:r>
      <w:proofErr w:type="spellEnd"/>
      <w:r>
        <w:rPr>
          <w:color w:val="000000"/>
          <w:sz w:val="28"/>
          <w:szCs w:val="28"/>
        </w:rPr>
        <w:t xml:space="preserve"> по охране общественного порядка и профилактике правонарушений на территории Соликамского городского округа, в том числе совместно с полицией», совместно с сотрудниками ППСП заступали 4 сотрудника ООО «ОА «Шериф-Безопасность» входящих в состав 2-х ГБР.</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spacing w:val="-4"/>
          <w:sz w:val="28"/>
          <w:szCs w:val="28"/>
        </w:rPr>
      </w:pPr>
      <w:r>
        <w:rPr>
          <w:spacing w:val="-4"/>
          <w:sz w:val="28"/>
          <w:szCs w:val="28"/>
        </w:rPr>
        <w:t xml:space="preserve">На территории Соликамского муниципального округа создана и внесена в региональный реестр народных дружин и общественных объединений правоохранительной направленности 1 </w:t>
      </w:r>
      <w:r>
        <w:rPr>
          <w:color w:val="000000"/>
          <w:sz w:val="28"/>
          <w:szCs w:val="28"/>
        </w:rPr>
        <w:t>городская добровольная дружина охраны общественного порядка</w:t>
      </w:r>
      <w:r>
        <w:rPr>
          <w:spacing w:val="-4"/>
          <w:sz w:val="28"/>
          <w:szCs w:val="28"/>
        </w:rPr>
        <w:t xml:space="preserve"> общей численностью 45 человек.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sz w:val="28"/>
          <w:szCs w:val="28"/>
        </w:rPr>
      </w:pPr>
      <w:r>
        <w:rPr>
          <w:sz w:val="28"/>
          <w:szCs w:val="28"/>
        </w:rPr>
        <w:t>В  2024 году обеспечены правопорядок и общественная безопасность в период подготовки и проведения 39 публичных мероприятий, в том числе 16 культурно – зрелищных, 2 религиозных, 4 спортивных, 2 специальных, в которых приняло участие более 86 тыс. граждан</w:t>
      </w:r>
      <w:r>
        <w:rPr>
          <w:i/>
          <w:sz w:val="28"/>
          <w:szCs w:val="28"/>
        </w:rPr>
        <w:t xml:space="preserve">. </w:t>
      </w:r>
      <w:r>
        <w:rPr>
          <w:sz w:val="28"/>
          <w:szCs w:val="28"/>
        </w:rPr>
        <w:t>На обеспечение охраны общественного порядка при проведении указанных мероприятий задействовались 769 сотрудников ОМВД, а также 469 представителей приданных сил. Благодаря профессиональным действиям сотрудников полиции и взаимодействующих структур нарушений общественного порядка не допущено.</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sz w:val="28"/>
          <w:szCs w:val="28"/>
        </w:rPr>
      </w:pPr>
      <w:r>
        <w:rPr>
          <w:sz w:val="28"/>
          <w:szCs w:val="28"/>
        </w:rPr>
        <w:t>В центре внимания находились вопросы предупреждения преступлений и правонарушений среди несовершеннолетних. По итогам 2024 года доля расследованных преступлений, совершенных несовершеннолетними, сохранялась на уровне прошлого года, составила 5,5%, при этом сократились количественные показатели расследованных преступлений на 14,5% (47 фактов) и числа участников преступлений на 10,5% (34 лица), из которых 11 лиц, совершивших 15 преступлений, являлись иногородними. Возросло количество несовершеннолетних, совершивших преступление в состоянии алкогольного опьянения, на 56% (14 лиц). Со стороны представителей системы профилактики на постоянной основе должна быть организована работа по проведению рейдовых мероприятий, направленных на выявление фактов продажи алкогольной и спиртосодержащей продукции несовершеннолетним.</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s>
        <w:ind w:firstLine="709"/>
        <w:jc w:val="both"/>
        <w:rPr>
          <w:sz w:val="28"/>
          <w:szCs w:val="28"/>
        </w:rPr>
      </w:pPr>
      <w:r>
        <w:rPr>
          <w:sz w:val="28"/>
          <w:szCs w:val="28"/>
        </w:rPr>
        <w:t>Причиной совершения обозначенных преступлений в большинстве случаев явилось желание несовершеннолетних заработать. Возможно, необходимо проработать вопрос предоставления подросткам легальной возможности заработка.</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r>
        <w:rPr>
          <w:sz w:val="28"/>
          <w:szCs w:val="28"/>
        </w:rPr>
        <w:t xml:space="preserve">На профилактическом учете в ОМВД состоит 106 несовершеннолетних, 118 родителей и иных законных представителей, 2 группы антиобщественной </w:t>
      </w:r>
      <w:r>
        <w:rPr>
          <w:sz w:val="28"/>
          <w:szCs w:val="28"/>
        </w:rPr>
        <w:lastRenderedPageBreak/>
        <w:t xml:space="preserve">направленности, со всеми категориями проводится профилактическая работа. В 2024 году сотрудниками ОДН ОМВД проведена 231 лекция и беседа в образовательных учреждениях, 45 выступлений на родительских собраниях, 141 совместный рейд с представителями системы профилактики, выявлено и предупреждено 767 административных правонарушений по линии несовершеннолетних.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r>
        <w:rPr>
          <w:sz w:val="28"/>
          <w:szCs w:val="28"/>
        </w:rPr>
        <w:t xml:space="preserve">В оперативно – служебной деятельности сотрудников ОМВД особое внимание уделено вопросам профилактики и предупреждения преступности.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proofErr w:type="gramStart"/>
      <w:r>
        <w:rPr>
          <w:sz w:val="28"/>
          <w:szCs w:val="28"/>
        </w:rPr>
        <w:t>За 2024 год пресечено 4121 административное правонарушение, в том числе за «мелкое хулиганство» - 203, потребление, распитие алкогольной продукции в общественном месте  – 2002, несоблюдение административных ограничений и невыполнение обязанностей, установленных при административном надзоре  -  202, в сфере незаконного оборота наркотических средств  – 146, побои  – 112, мелкое хищение  - 81,   уклонение от исполнения административного наказания  – 274, нарушение правил продажи этилового спирта, алкогольной и спиртосодержащей продукции</w:t>
      </w:r>
      <w:proofErr w:type="gramEnd"/>
      <w:r>
        <w:rPr>
          <w:sz w:val="28"/>
          <w:szCs w:val="28"/>
        </w:rPr>
        <w:t xml:space="preserve"> несовершеннолетним  – 38.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sz w:val="28"/>
          <w:szCs w:val="28"/>
        </w:rPr>
      </w:pPr>
      <w:r>
        <w:rPr>
          <w:sz w:val="28"/>
          <w:szCs w:val="28"/>
        </w:rPr>
        <w:t xml:space="preserve">На профилактическом учете ОМВД на 01.01.2025 состояло 2978 лиц отдельных категорий. Работа с лицами, состоящими на профилактических учетах, осуществляется путем проведения ежеквартальных проверок по месту жительства, пресечения совершения ими административных правонарушений, проверок соблюдения установленных ограничений и обязанностей. За 2024 год проведено 1968 проверок лиц </w:t>
      </w:r>
      <w:proofErr w:type="spellStart"/>
      <w:r>
        <w:rPr>
          <w:sz w:val="28"/>
          <w:szCs w:val="28"/>
        </w:rPr>
        <w:t>подучетных</w:t>
      </w:r>
      <w:proofErr w:type="spellEnd"/>
      <w:r>
        <w:rPr>
          <w:sz w:val="28"/>
          <w:szCs w:val="28"/>
        </w:rPr>
        <w:t xml:space="preserve"> категорий.</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r>
        <w:rPr>
          <w:sz w:val="28"/>
          <w:szCs w:val="28"/>
        </w:rPr>
        <w:t xml:space="preserve">Приняты меры по обеспечению законности пребывания (проживания) иностранных граждан и лиц без гражданства на территории Соликамского городского округа. В 2024 году поставлен на миграционный учет 2701 иностранный гражданин и лицо без гражданства. Сотрудниками ОМВД проведено 440 мероприятий по выявлению фактов нарушения миграционного законодательства. </w:t>
      </w:r>
      <w:r>
        <w:rPr>
          <w:color w:val="000000"/>
          <w:sz w:val="28"/>
          <w:szCs w:val="28"/>
        </w:rPr>
        <w:t xml:space="preserve">Вынесено 11 решений о сокращении срока пребывания иностранных граждан и лиц без гражданства. Соликамским городским судом приняты решения о </w:t>
      </w:r>
      <w:proofErr w:type="gramStart"/>
      <w:r>
        <w:rPr>
          <w:color w:val="000000"/>
          <w:sz w:val="28"/>
          <w:szCs w:val="28"/>
        </w:rPr>
        <w:t>выдворении</w:t>
      </w:r>
      <w:proofErr w:type="gramEnd"/>
      <w:r>
        <w:rPr>
          <w:color w:val="000000"/>
          <w:sz w:val="28"/>
          <w:szCs w:val="28"/>
        </w:rPr>
        <w:t xml:space="preserve"> в административном порядке 17 иностранных граждан и лиц без гражданства. Выявлено и пресечено 573 </w:t>
      </w:r>
      <w:proofErr w:type="gramStart"/>
      <w:r>
        <w:rPr>
          <w:color w:val="000000"/>
          <w:sz w:val="28"/>
          <w:szCs w:val="28"/>
        </w:rPr>
        <w:t>административных</w:t>
      </w:r>
      <w:proofErr w:type="gramEnd"/>
      <w:r>
        <w:rPr>
          <w:sz w:val="28"/>
          <w:szCs w:val="28"/>
        </w:rPr>
        <w:t xml:space="preserve"> правонарушения в сфере миграции.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r>
        <w:rPr>
          <w:sz w:val="28"/>
          <w:szCs w:val="28"/>
        </w:rPr>
        <w:t xml:space="preserve">Важным шагом в реализации государственной миграционной политики стал запуск 5 февраля 2025 года реестра контролируемых лиц. В настоящее время он функционирует на базе официального сайта МВД России и на Едином портале государственных и муниципальных услуг. В реестре содержатся сведения о гражданах, утративших законные основания для пребывания в России. В срок по </w:t>
      </w:r>
      <w:r>
        <w:rPr>
          <w:bCs/>
          <w:sz w:val="28"/>
          <w:szCs w:val="28"/>
        </w:rPr>
        <w:t>30 апреля 2025</w:t>
      </w:r>
      <w:r>
        <w:rPr>
          <w:sz w:val="28"/>
          <w:szCs w:val="28"/>
        </w:rPr>
        <w:t xml:space="preserve"> года каждый иностранный гражданин, допустивший нарушение режима пребывания, обязан для урегулирования своего правового положения явиться в территориальный орган МВД России. В соответствии с Указом Президента Российской Федерации от 30 декабря 2024 г. №1126 в отношении таких лиц не будут применяться меры, связанные с высылкой, помещением в специальные учреждения, а также с запретом на </w:t>
      </w:r>
      <w:r>
        <w:rPr>
          <w:sz w:val="28"/>
          <w:szCs w:val="28"/>
        </w:rPr>
        <w:lastRenderedPageBreak/>
        <w:t xml:space="preserve">въезд. Иностранные граждане и лица без гражданства, которые урегулировали свой правовой статус, исключаются из реестра контролируемых лиц.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s>
        <w:ind w:firstLine="709"/>
        <w:jc w:val="both"/>
        <w:rPr>
          <w:sz w:val="28"/>
          <w:szCs w:val="28"/>
        </w:rPr>
      </w:pPr>
      <w:r>
        <w:rPr>
          <w:spacing w:val="-6"/>
          <w:sz w:val="28"/>
          <w:szCs w:val="28"/>
        </w:rPr>
        <w:t xml:space="preserve">Важнейшим направлением является реализация государственной политики в области безопасности дорожного движения. </w:t>
      </w:r>
      <w:r>
        <w:rPr>
          <w:spacing w:val="2"/>
          <w:sz w:val="28"/>
          <w:szCs w:val="28"/>
        </w:rPr>
        <w:t>Целевые показатели, установленные федеральным проектом «Безопасность дорожного движения», за 2024 год не превышены. Однако</w:t>
      </w:r>
      <w:proofErr w:type="gramStart"/>
      <w:r>
        <w:rPr>
          <w:spacing w:val="2"/>
          <w:sz w:val="28"/>
          <w:szCs w:val="28"/>
        </w:rPr>
        <w:t>,</w:t>
      </w:r>
      <w:proofErr w:type="gramEnd"/>
      <w:r>
        <w:rPr>
          <w:sz w:val="28"/>
          <w:szCs w:val="28"/>
        </w:rPr>
        <w:t xml:space="preserve"> показатели аварийности по итогам 2024 года свидетельствуют о необходимости принятия дополнительных мер, направленных на повышение безопасности дорожного движения. В январе - декабре 2024 года на территории Соликамского городского округа зарегистрировано 105 </w:t>
      </w:r>
      <w:proofErr w:type="spellStart"/>
      <w:r>
        <w:rPr>
          <w:sz w:val="28"/>
          <w:szCs w:val="28"/>
        </w:rPr>
        <w:t>дорожно</w:t>
      </w:r>
      <w:proofErr w:type="spellEnd"/>
      <w:r>
        <w:rPr>
          <w:sz w:val="28"/>
          <w:szCs w:val="28"/>
        </w:rPr>
        <w:t xml:space="preserve"> - транспортных происшествий (+69,4%), при которых погибло 9 человек (+200%), 128 человек получили телесные повреждения (+64,1%). Сотрудниками Госавтоинспекции ОМВД выявлено и пресечено 9680 административных правонарушений по линии Госавтоинспекции (+1,8%).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За отчетный период при осуществлении </w:t>
      </w:r>
      <w:proofErr w:type="gramStart"/>
      <w:r>
        <w:rPr>
          <w:sz w:val="28"/>
          <w:szCs w:val="28"/>
        </w:rPr>
        <w:t>контроля за</w:t>
      </w:r>
      <w:proofErr w:type="gramEnd"/>
      <w:r>
        <w:rPr>
          <w:sz w:val="28"/>
          <w:szCs w:val="28"/>
        </w:rPr>
        <w:t xml:space="preserve"> состоянием, оборудованием и эксплуатацией улично-дорожной сети сотрудниками отдела Госавтоинспекции ОМВД проделана следующая работа: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составлено 14 протоколов (+100%) по ст. 12.34 КоАП РФ (несоблюдение требований по обеспечению БДД при строительстве, реконструкции, ремонте и содержании дорог, железнодорожных переездов или других дорожных сооружений);</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проведено 10 профилактических визитов в соответствии со ст.52 ФЗ-248 от 30.07.2020 года (+100%);</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направлено 295 информаций в адрес подрядных организаций, обслуживающих дороги и улицы (+195%);</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направлено 20 информаций в адрес собственника автомобильных дорог Администрации Соликамского городского округа (+100%);</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направлено 23 информации о нарушениях законодательства в области БДД в органы прокуратуры (+35%);</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выдано 70 предостережений в адрес МБУ «Управление благоустройства Соликамского городского округа» в соответствии ст. 49 ФЗ-248 от 30.07.2020 (+133%).</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Проблемные направления, по которым направлялась информация:</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организация дорожного движения на участке дороги «Реконструкция участка автомобильной дороги ул. Всеобуча (от ул. Железнодорожная до ул. Всеобуча, дом 95 а) – меры не приняты;</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недостатки в покрытии проезжей части на улицах Большевистская, Калийная, 20-летия Победы, ул. Революции, Черняховского, шоссе Соликамское (</w:t>
      </w:r>
      <w:proofErr w:type="spellStart"/>
      <w:r>
        <w:rPr>
          <w:sz w:val="28"/>
          <w:szCs w:val="28"/>
        </w:rPr>
        <w:t>колейность</w:t>
      </w:r>
      <w:proofErr w:type="spellEnd"/>
      <w:r>
        <w:rPr>
          <w:sz w:val="28"/>
          <w:szCs w:val="28"/>
        </w:rPr>
        <w:t>) - не устранено;</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недостатки в зимнем содержании дорог;</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lastRenderedPageBreak/>
        <w:t xml:space="preserve">- </w:t>
      </w:r>
      <w:r>
        <w:rPr>
          <w:sz w:val="28"/>
          <w:szCs w:val="28"/>
        </w:rPr>
        <w:t>актуализация проектов организации дорожного движения (ПОДД), а также  разработка отсутствующих ПОДД на участки автомобильных дорог – на 2025 год запланировано выделение 500 тыс. рублей;</w:t>
      </w:r>
      <w:r>
        <w:rPr>
          <w:sz w:val="28"/>
          <w:szCs w:val="28"/>
        </w:rPr>
        <w:tab/>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установка информационных секций на светофорных объектах - не исполнено;</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 </w:t>
      </w:r>
      <w:r>
        <w:rPr>
          <w:sz w:val="28"/>
          <w:szCs w:val="28"/>
        </w:rPr>
        <w:t xml:space="preserve">ненормативное состояние проезжей части объездной дороги от                                  ул. </w:t>
      </w:r>
      <w:proofErr w:type="spellStart"/>
      <w:r>
        <w:rPr>
          <w:sz w:val="28"/>
          <w:szCs w:val="28"/>
        </w:rPr>
        <w:t>Цифриновича</w:t>
      </w:r>
      <w:proofErr w:type="spellEnd"/>
      <w:r>
        <w:rPr>
          <w:sz w:val="28"/>
          <w:szCs w:val="28"/>
        </w:rPr>
        <w:t xml:space="preserve"> до ул. Карналлитовая (микрорайон «Клестовка»), установка дорожных знаков «Движение грузовых автомобилей запрещено» во всех необходимых направлениях – в полном объеме не исполнено.</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В адрес администрации Соликамского городского округа в 2024 году были направлены предложения (№10/35998 от 09.10.2024), которые в полном объеме не исполнены:</w:t>
      </w:r>
    </w:p>
    <w:p w:rsidR="002206FC" w:rsidRDefault="002206FC" w:rsidP="002206FC">
      <w:pPr>
        <w:numPr>
          <w:ilvl w:val="0"/>
          <w:numId w:val="16"/>
        </w:numPr>
        <w:tabs>
          <w:tab w:val="left" w:pos="0"/>
          <w:tab w:val="left" w:pos="567"/>
          <w:tab w:val="left" w:pos="1134"/>
        </w:tabs>
        <w:ind w:left="0" w:right="-1" w:firstLine="709"/>
        <w:contextualSpacing/>
        <w:jc w:val="both"/>
        <w:rPr>
          <w:sz w:val="28"/>
          <w:szCs w:val="28"/>
          <w:lang w:eastAsia="en-US"/>
        </w:rPr>
      </w:pPr>
      <w:bookmarkStart w:id="0" w:name="_GoBack"/>
      <w:bookmarkEnd w:id="0"/>
      <w:r>
        <w:rPr>
          <w:sz w:val="28"/>
          <w:szCs w:val="28"/>
          <w:lang w:eastAsia="en-US"/>
        </w:rPr>
        <w:t>капитальный ремонт аварийных участков автомобильных дорог;</w:t>
      </w:r>
    </w:p>
    <w:p w:rsidR="002206FC" w:rsidRDefault="002206FC" w:rsidP="002206FC">
      <w:pPr>
        <w:numPr>
          <w:ilvl w:val="0"/>
          <w:numId w:val="16"/>
        </w:numPr>
        <w:shd w:val="clear" w:color="auto" w:fill="FFFFFF"/>
        <w:tabs>
          <w:tab w:val="left" w:pos="0"/>
          <w:tab w:val="left" w:pos="567"/>
          <w:tab w:val="left" w:pos="1134"/>
        </w:tabs>
        <w:ind w:left="0" w:firstLine="709"/>
        <w:contextualSpacing/>
        <w:jc w:val="both"/>
        <w:rPr>
          <w:color w:val="1A1A1A"/>
          <w:sz w:val="28"/>
          <w:szCs w:val="28"/>
        </w:rPr>
      </w:pPr>
      <w:r>
        <w:rPr>
          <w:sz w:val="28"/>
          <w:szCs w:val="28"/>
        </w:rPr>
        <w:t>использование износостойких и долговечных материалов для нанесения всех видов дорожной горизонтальной разметки</w:t>
      </w:r>
      <w:r>
        <w:rPr>
          <w:color w:val="1A1A1A"/>
          <w:sz w:val="28"/>
          <w:szCs w:val="28"/>
        </w:rPr>
        <w:t xml:space="preserve"> (термопластик, холодный пластик либо полимерные ленты) - увеличены объемы финансирования на 40%;</w:t>
      </w:r>
    </w:p>
    <w:p w:rsidR="002206FC" w:rsidRDefault="002206FC" w:rsidP="002206FC">
      <w:pPr>
        <w:widowControl w:val="0"/>
        <w:numPr>
          <w:ilvl w:val="0"/>
          <w:numId w:val="16"/>
        </w:numPr>
        <w:tabs>
          <w:tab w:val="left" w:pos="0"/>
          <w:tab w:val="left" w:pos="567"/>
          <w:tab w:val="left" w:pos="1134"/>
        </w:tabs>
        <w:suppressAutoHyphens/>
        <w:ind w:left="0" w:firstLine="709"/>
        <w:jc w:val="both"/>
        <w:rPr>
          <w:sz w:val="28"/>
          <w:szCs w:val="28"/>
          <w:lang w:eastAsia="ar-SA"/>
        </w:rPr>
      </w:pPr>
      <w:r>
        <w:rPr>
          <w:sz w:val="28"/>
          <w:szCs w:val="28"/>
          <w:lang w:eastAsia="ar-SA"/>
        </w:rPr>
        <w:t>оборудование участков автомобильных дорог специальными техническими средствами, имеющими функции фото- и киносъёмки, видеозаписи для фиксации нарушений правил дорожного движения (места концентрации ДТП, потенциальные места концентрации ДТП) – не исполнено;</w:t>
      </w:r>
    </w:p>
    <w:p w:rsidR="002206FC" w:rsidRDefault="002206FC" w:rsidP="002206FC">
      <w:pPr>
        <w:numPr>
          <w:ilvl w:val="0"/>
          <w:numId w:val="16"/>
        </w:numPr>
        <w:tabs>
          <w:tab w:val="left" w:pos="0"/>
          <w:tab w:val="left" w:pos="567"/>
          <w:tab w:val="left" w:pos="1134"/>
        </w:tabs>
        <w:ind w:left="0" w:right="-1" w:firstLine="709"/>
        <w:contextualSpacing/>
        <w:jc w:val="both"/>
        <w:rPr>
          <w:sz w:val="28"/>
          <w:szCs w:val="28"/>
          <w:lang w:eastAsia="en-US"/>
        </w:rPr>
      </w:pPr>
      <w:r>
        <w:rPr>
          <w:sz w:val="28"/>
          <w:szCs w:val="28"/>
          <w:lang w:eastAsia="en-US"/>
        </w:rPr>
        <w:t xml:space="preserve">оборудование улично-дорожной сети Соликамского городского округа </w:t>
      </w:r>
      <w:r>
        <w:rPr>
          <w:color w:val="1A1A1A"/>
          <w:sz w:val="28"/>
          <w:szCs w:val="28"/>
          <w:shd w:val="clear" w:color="auto" w:fill="FFFFFF"/>
          <w:lang w:eastAsia="en-US"/>
        </w:rPr>
        <w:t>стационарным электрическим освещением</w:t>
      </w:r>
      <w:r>
        <w:rPr>
          <w:sz w:val="28"/>
          <w:szCs w:val="28"/>
          <w:lang w:eastAsia="en-US"/>
        </w:rPr>
        <w:t xml:space="preserve"> - до 2027 года финансирование не предусмотрено;</w:t>
      </w:r>
    </w:p>
    <w:p w:rsidR="002206FC" w:rsidRDefault="002206FC" w:rsidP="002206FC">
      <w:pPr>
        <w:numPr>
          <w:ilvl w:val="0"/>
          <w:numId w:val="16"/>
        </w:numPr>
        <w:tabs>
          <w:tab w:val="left" w:pos="0"/>
          <w:tab w:val="left" w:pos="567"/>
          <w:tab w:val="left" w:pos="1134"/>
        </w:tabs>
        <w:ind w:left="0" w:right="-1" w:firstLine="709"/>
        <w:contextualSpacing/>
        <w:jc w:val="both"/>
        <w:rPr>
          <w:sz w:val="28"/>
          <w:szCs w:val="28"/>
        </w:rPr>
      </w:pPr>
      <w:r>
        <w:rPr>
          <w:sz w:val="28"/>
          <w:szCs w:val="28"/>
        </w:rPr>
        <w:t>поэтапное совершенствование организации дорожного движения на пешеходных переходах (особенно вблизи образовательных учреждений), в том числе оборудование многополосных дорог дублирующими дорожными знаками 5.19.1 (2) «Пешеходный переход» над проезжей частью – не исполнено.</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567"/>
          <w:tab w:val="left" w:pos="1134"/>
        </w:tabs>
        <w:ind w:firstLine="709"/>
        <w:jc w:val="both"/>
        <w:rPr>
          <w:sz w:val="28"/>
          <w:szCs w:val="28"/>
        </w:rPr>
      </w:pPr>
      <w:r>
        <w:rPr>
          <w:sz w:val="28"/>
          <w:szCs w:val="28"/>
        </w:rPr>
        <w:t xml:space="preserve">До настоящего времени остается нерешенным вопрос организации размещения и хранения транспорта, изъятого сотрудниками ОМВД. </w:t>
      </w:r>
      <w:proofErr w:type="gramStart"/>
      <w:r>
        <w:rPr>
          <w:sz w:val="28"/>
          <w:szCs w:val="28"/>
        </w:rPr>
        <w:t>Федеральным законом Российской Федерации от 14 июля 2022 г. № 258-ФЗ «О внесении изменений в Уголовный кодекс Российской Федерации и статьи 31 и 150 Уголовно-процессуального кодекса Российской Федерации», вступившим в силу 25.07.2022, часть 1 статьи 104.1 УК РФ дополнена пунктом «д», предусматривающим конфискацию транспортного средства, принадлежащего обвиняемому и использованного им при совершении преступления, предусмотренного статьей 264.1, 264.2 или 264.3УК РФ</w:t>
      </w:r>
      <w:proofErr w:type="gramEnd"/>
      <w:r>
        <w:rPr>
          <w:sz w:val="28"/>
          <w:szCs w:val="28"/>
        </w:rPr>
        <w:t xml:space="preserve">. </w:t>
      </w:r>
      <w:r>
        <w:rPr>
          <w:sz w:val="28"/>
          <w:szCs w:val="28"/>
        </w:rPr>
        <w:tab/>
        <w:t>Нормы данных статей дают право органу дознания изъять транспортные средства, принадлежащие водителям и использованные ими при совершении указанных преступлений.</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 w:val="left" w:pos="1134"/>
        </w:tabs>
        <w:ind w:firstLine="709"/>
        <w:jc w:val="both"/>
        <w:rPr>
          <w:sz w:val="28"/>
          <w:szCs w:val="28"/>
        </w:rPr>
      </w:pPr>
      <w:r>
        <w:rPr>
          <w:sz w:val="28"/>
          <w:szCs w:val="28"/>
        </w:rPr>
        <w:lastRenderedPageBreak/>
        <w:t>В настоящее время на территории ОМВД по адресу г. Соликамск,                              ул. Молодежная, 15, размещено 23 единицы транспортных средств, изъятых по уголовным делам, возбужденным по признакам преступления, предусмотренного ст. 264 УК РФ. Субъектами данной категории преступлений являются водители – злостные нарушители правил дорожного движения, действия которых влекут за собой рост аварийности на территории Соликамского муниципального округа.</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 w:val="left" w:pos="1134"/>
        </w:tabs>
        <w:ind w:firstLine="709"/>
        <w:jc w:val="both"/>
        <w:rPr>
          <w:sz w:val="28"/>
          <w:szCs w:val="28"/>
        </w:rPr>
      </w:pPr>
      <w:r>
        <w:rPr>
          <w:sz w:val="28"/>
          <w:szCs w:val="28"/>
        </w:rPr>
        <w:t xml:space="preserve">В 2024 году в адрес администрации Соликамского городского округа неоднократно направлялись письма об оказании содействия в организации размещения и хранения изъятого автотранспорта (исх. №№ 22/19709 от 28.05.2024, 31/21751 от 13.06.2024, 31/33195 от 17.09.2024, 31/45582 от 24.12.2024). На текущую дату вопрос положительно не решен.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 w:val="left" w:pos="1134"/>
        </w:tabs>
        <w:ind w:firstLine="709"/>
        <w:jc w:val="both"/>
        <w:rPr>
          <w:sz w:val="28"/>
          <w:szCs w:val="28"/>
        </w:rPr>
      </w:pPr>
      <w:r>
        <w:rPr>
          <w:sz w:val="28"/>
          <w:szCs w:val="28"/>
        </w:rPr>
        <w:t>В целях поддержании правопорядка на территории города Соликамска, исключения допуска автомобилей, являющихся предметами преступлений к участию в дорожном движении, прошу рассмотреть вопрос о предоставлении места хранения изъятого транспорта (специализированной стоянки).</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 w:val="left" w:pos="1134"/>
        </w:tabs>
        <w:ind w:firstLine="709"/>
        <w:jc w:val="both"/>
        <w:rPr>
          <w:sz w:val="28"/>
          <w:szCs w:val="28"/>
        </w:rPr>
      </w:pPr>
      <w:r>
        <w:rPr>
          <w:sz w:val="28"/>
          <w:szCs w:val="28"/>
        </w:rPr>
        <w:t xml:space="preserve">Важную роль в выполнении поставленных задач играет укомплектованность подразделений ОМВД, качественный  высокопрофессиональный кадровый потенциал. Несмотря на принимаемые меры, сохраняет актуальность вопрос комплектования и укрепления кадрового состава ОМВД. На начало 2025 года некомплект личного состава ОМВД составлял 38,2%, наибольший некомплект отмечается в подразделениях </w:t>
      </w:r>
      <w:proofErr w:type="spellStart"/>
      <w:r>
        <w:rPr>
          <w:sz w:val="28"/>
          <w:szCs w:val="28"/>
        </w:rPr>
        <w:t>ОУУПиПДН</w:t>
      </w:r>
      <w:proofErr w:type="spellEnd"/>
      <w:r>
        <w:rPr>
          <w:sz w:val="28"/>
          <w:szCs w:val="28"/>
        </w:rPr>
        <w:t xml:space="preserve"> – 59,2%, ОВ ППСП – 68%, ОП – 59,6%, </w:t>
      </w:r>
      <w:proofErr w:type="spellStart"/>
      <w:r>
        <w:rPr>
          <w:sz w:val="28"/>
          <w:szCs w:val="28"/>
        </w:rPr>
        <w:t>ОЭБиПК</w:t>
      </w:r>
      <w:proofErr w:type="spellEnd"/>
      <w:r>
        <w:rPr>
          <w:sz w:val="28"/>
          <w:szCs w:val="28"/>
        </w:rPr>
        <w:t xml:space="preserve"> – 42,8%, СО – 44,5%, ОУР – 56%, Отдел Госавтоинспекции – 32%. </w:t>
      </w:r>
    </w:p>
    <w:p w:rsidR="002206FC" w:rsidRDefault="002206FC" w:rsidP="002206FC">
      <w:pPr>
        <w:pBdr>
          <w:top w:val="single" w:sz="4" w:space="1" w:color="FFFFFF"/>
          <w:left w:val="single" w:sz="4" w:space="0" w:color="FFFFFF"/>
          <w:bottom w:val="single" w:sz="4" w:space="31" w:color="FFFFFF"/>
          <w:right w:val="single" w:sz="4" w:space="10" w:color="FFFFFF"/>
        </w:pBdr>
        <w:tabs>
          <w:tab w:val="left" w:pos="0"/>
          <w:tab w:val="left" w:pos="709"/>
        </w:tabs>
        <w:ind w:firstLine="709"/>
        <w:jc w:val="both"/>
        <w:rPr>
          <w:color w:val="000000"/>
          <w:sz w:val="28"/>
          <w:szCs w:val="28"/>
        </w:rPr>
      </w:pPr>
      <w:proofErr w:type="gramStart"/>
      <w:r>
        <w:rPr>
          <w:sz w:val="28"/>
          <w:szCs w:val="28"/>
        </w:rPr>
        <w:t>С учетом достигнутых показателей оперативно – служебной деятельности и в целях повышения ее эффективности в текущем году сохраняют актуальность и остаются приоритетными направления, связанные с</w:t>
      </w:r>
      <w:r>
        <w:rPr>
          <w:color w:val="000000"/>
          <w:sz w:val="28"/>
          <w:szCs w:val="28"/>
        </w:rPr>
        <w:t xml:space="preserve"> оперативным раскрытием, расследованием и направлением в суд уголовных дел; борьба с коррупцией; предупреждение распространения </w:t>
      </w:r>
      <w:proofErr w:type="spellStart"/>
      <w:r>
        <w:rPr>
          <w:color w:val="000000"/>
          <w:sz w:val="28"/>
          <w:szCs w:val="28"/>
        </w:rPr>
        <w:t>наркопреступности</w:t>
      </w:r>
      <w:proofErr w:type="spellEnd"/>
      <w:r>
        <w:rPr>
          <w:color w:val="000000"/>
          <w:sz w:val="28"/>
          <w:szCs w:val="28"/>
        </w:rPr>
        <w:t>; реализация действенных мер по профилактике преступлений и правонарушений во взаимодействии со всеми субъектами профилактики;</w:t>
      </w:r>
      <w:proofErr w:type="gramEnd"/>
      <w:r>
        <w:rPr>
          <w:color w:val="000000"/>
          <w:sz w:val="28"/>
          <w:szCs w:val="28"/>
        </w:rPr>
        <w:t xml:space="preserve"> обеспечение общественного порядка и общественной безопасности; снижение аварийности на территории оперативного обслуживания.</w:t>
      </w:r>
    </w:p>
    <w:sectPr w:rsidR="002206FC" w:rsidSect="00310EB3">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0D4" w:rsidRDefault="004370D4" w:rsidP="004751B4">
      <w:r>
        <w:separator/>
      </w:r>
    </w:p>
  </w:endnote>
  <w:endnote w:type="continuationSeparator" w:id="0">
    <w:p w:rsidR="004370D4" w:rsidRDefault="004370D4"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PT Astra Serif">
    <w:altName w:val="Cambria"/>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0D4" w:rsidRDefault="004370D4" w:rsidP="004751B4">
      <w:r>
        <w:separator/>
      </w:r>
    </w:p>
  </w:footnote>
  <w:footnote w:type="continuationSeparator" w:id="0">
    <w:p w:rsidR="004370D4" w:rsidRDefault="004370D4" w:rsidP="004751B4">
      <w:r>
        <w:continuationSeparator/>
      </w:r>
    </w:p>
  </w:footnote>
  <w:footnote w:id="1">
    <w:p w:rsidR="002206FC" w:rsidRDefault="002206FC" w:rsidP="002206FC">
      <w:pPr>
        <w:pStyle w:val="af5"/>
      </w:pPr>
      <w:r>
        <w:rPr>
          <w:rStyle w:val="af7"/>
        </w:rPr>
        <w:footnoteRef/>
      </w:r>
      <w:r>
        <w:t xml:space="preserve"> Далее – «ОМВД».</w:t>
      </w:r>
    </w:p>
  </w:footnote>
  <w:footnote w:id="2">
    <w:p w:rsidR="002206FC" w:rsidRDefault="002206FC" w:rsidP="002206FC">
      <w:pPr>
        <w:pStyle w:val="af5"/>
        <w:rPr>
          <w:rFonts w:ascii="PT Astra Serif" w:hAnsi="PT Astra Serif"/>
        </w:rPr>
      </w:pPr>
      <w:r>
        <w:rPr>
          <w:rStyle w:val="af7"/>
          <w:rFonts w:ascii="PT Astra Serif" w:hAnsi="PT Astra Serif"/>
        </w:rPr>
        <w:footnoteRef/>
      </w:r>
      <w:r>
        <w:rPr>
          <w:rFonts w:ascii="PT Astra Serif" w:hAnsi="PT Astra Serif"/>
        </w:rPr>
        <w:t xml:space="preserve"> Далее – “ЦБДД ПК».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2206FC" w:rsidRPr="002206FC">
      <w:rPr>
        <w:noProof/>
        <w:lang w:val="ru-RU"/>
      </w:rPr>
      <w:t>8</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6422E"/>
    <w:rsid w:val="008C028F"/>
    <w:rsid w:val="008D5C2C"/>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723C23ACC2B106450C8127146628E3DAC9CAD53FB92BB37DBC27BAEA35u1f4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931F0-A2C9-408B-8FFB-542E4FBC0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9</Pages>
  <Words>3292</Words>
  <Characters>18765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44</cp:revision>
  <cp:lastPrinted>2025-03-26T09:59:00Z</cp:lastPrinted>
  <dcterms:created xsi:type="dcterms:W3CDTF">2018-06-27T17:03:00Z</dcterms:created>
  <dcterms:modified xsi:type="dcterms:W3CDTF">2025-03-26T10:01:00Z</dcterms:modified>
</cp:coreProperties>
</file>